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640" w:lineRule="exact"/>
        <w:jc w:val="both"/>
        <w:textAlignment w:val="auto"/>
        <w:outlineLvl w:val="1"/>
        <w:rPr>
          <w:rFonts w:hint="eastAsia" w:ascii="黑体" w:hAnsi="黑体" w:eastAsia="黑体" w:cs="黑体"/>
          <w:color w:val="000000"/>
          <w:kern w:val="0"/>
          <w:sz w:val="32"/>
          <w:szCs w:val="32"/>
          <w:lang w:eastAsia="zh-CN"/>
        </w:rPr>
      </w:pPr>
      <w:r>
        <w:rPr>
          <w:rFonts w:hint="eastAsia" w:ascii="黑体" w:hAnsi="黑体" w:eastAsia="黑体" w:cs="黑体"/>
          <w:color w:val="000000"/>
          <w:kern w:val="0"/>
          <w:sz w:val="32"/>
          <w:szCs w:val="32"/>
          <w:lang w:eastAsia="zh-CN"/>
        </w:rPr>
        <w:t>附件</w:t>
      </w:r>
    </w:p>
    <w:p>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outlineLvl w:val="1"/>
        <w:rPr>
          <w:rFonts w:hint="eastAsia" w:ascii="方正小标宋_GBK" w:hAnsi="方正小标宋_GBK" w:eastAsia="方正小标宋_GBK" w:cs="方正小标宋_GBK"/>
          <w:color w:val="000000"/>
          <w:kern w:val="0"/>
          <w:sz w:val="36"/>
          <w:szCs w:val="36"/>
        </w:rPr>
      </w:pPr>
    </w:p>
    <w:p>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outlineLvl w:val="1"/>
        <w:rPr>
          <w:rFonts w:hint="eastAsia" w:ascii="方正小标宋_GBK" w:hAnsi="方正小标宋_GBK" w:eastAsia="方正小标宋_GBK" w:cs="方正小标宋_GBK"/>
          <w:color w:val="000000"/>
          <w:kern w:val="0"/>
          <w:sz w:val="36"/>
          <w:szCs w:val="36"/>
        </w:rPr>
      </w:pPr>
      <w:bookmarkStart w:id="0" w:name="_GoBack"/>
      <w:r>
        <w:rPr>
          <w:rFonts w:hint="eastAsia" w:ascii="方正小标宋_GBK" w:hAnsi="方正小标宋_GBK" w:eastAsia="方正小标宋_GBK" w:cs="方正小标宋_GBK"/>
          <w:color w:val="000000"/>
          <w:kern w:val="0"/>
          <w:sz w:val="36"/>
          <w:szCs w:val="36"/>
        </w:rPr>
        <w:t>常州信息职业技术学院基本建设工程管理办法</w:t>
      </w:r>
    </w:p>
    <w:bookmarkEnd w:id="0"/>
    <w:p>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outlineLvl w:val="1"/>
        <w:rPr>
          <w:rFonts w:hint="eastAsia" w:ascii="方正小标宋_GBK" w:hAnsi="方正小标宋_GBK" w:eastAsia="方正小标宋_GBK" w:cs="方正小标宋_GBK"/>
          <w:color w:val="000000"/>
          <w:kern w:val="0"/>
          <w:sz w:val="36"/>
          <w:szCs w:val="36"/>
        </w:rPr>
      </w:pPr>
    </w:p>
    <w:p>
      <w:pPr>
        <w:keepNext w:val="0"/>
        <w:keepLines w:val="0"/>
        <w:pageBreakBefore w:val="0"/>
        <w:widowControl w:val="0"/>
        <w:kinsoku/>
        <w:wordWrap/>
        <w:overflowPunct/>
        <w:topLinePunct w:val="0"/>
        <w:autoSpaceDE/>
        <w:autoSpaceDN/>
        <w:bidi w:val="0"/>
        <w:adjustRightInd w:val="0"/>
        <w:snapToGrid w:val="0"/>
        <w:spacing w:before="100" w:beforeAutospacing="0" w:afterAutospacing="0" w:line="600" w:lineRule="exact"/>
        <w:jc w:val="center"/>
        <w:textAlignment w:val="auto"/>
        <w:outlineLvl w:val="1"/>
        <w:rPr>
          <w:rFonts w:ascii="宋体" w:hAnsi="宋体" w:eastAsia="宋体" w:cs="宋体"/>
          <w:b/>
          <w:bCs/>
          <w:color w:val="auto"/>
          <w:kern w:val="0"/>
          <w:sz w:val="36"/>
          <w:szCs w:val="36"/>
        </w:rPr>
      </w:pPr>
      <w:r>
        <w:rPr>
          <w:rFonts w:hint="eastAsia" w:ascii="黑体" w:hAnsi="黑体" w:eastAsia="黑体" w:cs="宋体"/>
          <w:color w:val="auto"/>
          <w:kern w:val="0"/>
          <w:sz w:val="32"/>
          <w:szCs w:val="32"/>
        </w:rPr>
        <w:t>第一章 总则</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firstLine="643"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第一条</w:t>
      </w:r>
      <w:r>
        <w:rPr>
          <w:rFonts w:hint="eastAsia" w:ascii="仿宋_GB2312" w:hAnsi="仿宋_GB2312" w:eastAsia="仿宋_GB2312" w:cs="仿宋_GB2312"/>
          <w:color w:val="auto"/>
          <w:kern w:val="0"/>
          <w:sz w:val="32"/>
          <w:szCs w:val="32"/>
        </w:rPr>
        <w:t xml:space="preserve"> 为了加强和规范学校建设工程管理制度，提高我校建设工程管理水平，规范项目管理行为，保证工程建设质量，提高投资效益，依据国家的有关法律、法规和行业规范、条例，参照《关于做好省属高校基本建设工作的指导意见》（苏教发〔2017〕25号）文件精神，结合我校具体情况，特制定本管理办法。</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firstLine="643"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第二条</w:t>
      </w:r>
      <w:r>
        <w:rPr>
          <w:rFonts w:hint="eastAsia" w:ascii="仿宋_GB2312" w:hAnsi="仿宋_GB2312" w:eastAsia="仿宋_GB2312" w:cs="仿宋_GB2312"/>
          <w:color w:val="auto"/>
          <w:kern w:val="0"/>
          <w:sz w:val="32"/>
          <w:szCs w:val="32"/>
        </w:rPr>
        <w:t xml:space="preserve"> 建设工程决策应当严格执行“三重一大”制度,遵守基本建设程序,坚持先规划论证、后设计施工、再验收交付。建设过程中应当严格执行国家、江苏省和常州市有关的政策法规、技术规范及标准。项目实施过程中应主动公开建设项目的重大决策事项和进展情况等信息。参与工程项目建设的设计、施工和监理等单位须具备相应的行业资质要求。</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firstLine="643"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第三条</w:t>
      </w:r>
      <w:r>
        <w:rPr>
          <w:rFonts w:hint="eastAsia" w:ascii="仿宋_GB2312" w:hAnsi="仿宋_GB2312" w:eastAsia="仿宋_GB2312" w:cs="仿宋_GB2312"/>
          <w:color w:val="auto"/>
          <w:kern w:val="0"/>
          <w:sz w:val="32"/>
          <w:szCs w:val="32"/>
        </w:rPr>
        <w:t xml:space="preserve"> 本办法适用于本校经江苏省发展和改革委员会立项的新建、改建、扩建、修缮、装饰等建设工程项目。其它建设工程项目的管理按《常州信息职业技术学院维修改造工程管理办法》执行。</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firstLine="640" w:firstLineChars="200"/>
        <w:jc w:val="both"/>
        <w:textAlignment w:val="auto"/>
        <w:outlineLvl w:val="9"/>
        <w:rPr>
          <w:rFonts w:hint="eastAsia" w:ascii="仿宋_GB2312" w:hAnsi="仿宋_GB2312" w:eastAsia="仿宋_GB2312" w:cs="仿宋_GB2312"/>
          <w:color w:val="auto"/>
          <w:kern w:val="0"/>
          <w:sz w:val="32"/>
          <w:szCs w:val="32"/>
        </w:rPr>
      </w:pPr>
    </w:p>
    <w:p>
      <w:pPr>
        <w:keepNext w:val="0"/>
        <w:keepLines w:val="0"/>
        <w:pageBreakBefore w:val="0"/>
        <w:widowControl w:val="0"/>
        <w:kinsoku/>
        <w:wordWrap/>
        <w:overflowPunct/>
        <w:topLinePunct w:val="0"/>
        <w:autoSpaceDE/>
        <w:autoSpaceDN/>
        <w:bidi w:val="0"/>
        <w:adjustRightInd w:val="0"/>
        <w:snapToGrid w:val="0"/>
        <w:spacing w:before="100" w:beforeAutospacing="0" w:afterAutospacing="0" w:line="600" w:lineRule="exact"/>
        <w:jc w:val="center"/>
        <w:textAlignment w:val="auto"/>
        <w:outlineLvl w:val="1"/>
        <w:rPr>
          <w:rFonts w:hint="eastAsia" w:ascii="黑体" w:hAnsi="黑体" w:eastAsia="黑体" w:cs="宋体"/>
          <w:color w:val="auto"/>
          <w:kern w:val="0"/>
          <w:sz w:val="32"/>
          <w:szCs w:val="32"/>
        </w:rPr>
      </w:pPr>
      <w:r>
        <w:rPr>
          <w:rFonts w:hint="eastAsia" w:ascii="黑体" w:hAnsi="黑体" w:eastAsia="黑体" w:cs="宋体"/>
          <w:color w:val="auto"/>
          <w:kern w:val="0"/>
          <w:sz w:val="32"/>
          <w:szCs w:val="32"/>
        </w:rPr>
        <w:t>第二章 组织机构与职责</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firstLine="643"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第四条</w:t>
      </w:r>
      <w:r>
        <w:rPr>
          <w:rFonts w:hint="eastAsia" w:ascii="仿宋_GB2312" w:hAnsi="仿宋_GB2312" w:eastAsia="仿宋_GB2312" w:cs="仿宋_GB2312"/>
          <w:color w:val="auto"/>
          <w:kern w:val="0"/>
          <w:sz w:val="32"/>
          <w:szCs w:val="32"/>
        </w:rPr>
        <w:t xml:space="preserve"> 校长办公会、校党委会是学校建设工程建设管理工作的最高决策机构，负责校区基本建设的中长期规划以及项目建设过程中的重大问题决策。</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firstLine="643"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第五条</w:t>
      </w:r>
      <w:r>
        <w:rPr>
          <w:rFonts w:hint="eastAsia" w:ascii="仿宋_GB2312" w:hAnsi="仿宋_GB2312" w:eastAsia="仿宋_GB2312" w:cs="仿宋_GB2312"/>
          <w:color w:val="auto"/>
          <w:kern w:val="0"/>
          <w:sz w:val="32"/>
          <w:szCs w:val="32"/>
        </w:rPr>
        <w:t xml:space="preserve"> 基本建设项目实行领导小组责任制。学校校长是基建领导小组组长，对建设项目负总责；分管基建、财务、审计及纪检监察工作的校领导为副组长，分别对相应分管工作负责，其中分管基建的校领导为常务副组长；学校质量控制办公室·发展规划处、资产与后勤管理处、信息中心、招标采购管理中心、审计处、财务处及纪委办公室（监察处）负责人为领导小组成员，其中资产与后勤管理处负责人为建设项目负责人；领导小组下设办公室挂靠资产与后勤管理处，负责办理日常事务。</w:t>
      </w:r>
    </w:p>
    <w:p>
      <w:pPr>
        <w:keepNext w:val="0"/>
        <w:keepLines w:val="0"/>
        <w:pageBreakBefore w:val="0"/>
        <w:widowControl w:val="0"/>
        <w:kinsoku/>
        <w:wordWrap/>
        <w:overflowPunct/>
        <w:topLinePunct w:val="0"/>
        <w:autoSpaceDE/>
        <w:autoSpaceDN/>
        <w:bidi w:val="0"/>
        <w:adjustRightInd w:val="0"/>
        <w:snapToGrid w:val="0"/>
        <w:spacing w:before="100" w:beforeAutospacing="0" w:after="100" w:afterAutospacing="0" w:line="600" w:lineRule="exact"/>
        <w:ind w:firstLine="643" w:firstLineChars="200"/>
        <w:jc w:val="both"/>
        <w:textAlignment w:val="auto"/>
        <w:outlineLvl w:val="9"/>
        <w:rPr>
          <w:rFonts w:hint="eastAsia" w:ascii="仿宋_GB2312" w:hAnsi="仿宋_GB2312" w:eastAsia="仿宋_GB2312" w:cs="仿宋_GB2312"/>
          <w:b/>
          <w:bCs/>
          <w:color w:val="auto"/>
          <w:kern w:val="0"/>
          <w:sz w:val="32"/>
          <w:szCs w:val="32"/>
        </w:rPr>
      </w:pPr>
      <w:r>
        <w:rPr>
          <w:rFonts w:hint="eastAsia" w:ascii="仿宋_GB2312" w:hAnsi="仿宋_GB2312" w:eastAsia="仿宋_GB2312" w:cs="仿宋_GB2312"/>
          <w:b/>
          <w:bCs/>
          <w:color w:val="auto"/>
          <w:kern w:val="0"/>
          <w:sz w:val="32"/>
          <w:szCs w:val="32"/>
        </w:rPr>
        <w:t xml:space="preserve">第六条 </w:t>
      </w:r>
      <w:r>
        <w:rPr>
          <w:rFonts w:hint="eastAsia" w:ascii="仿宋_GB2312" w:hAnsi="仿宋_GB2312" w:eastAsia="仿宋_GB2312" w:cs="仿宋_GB2312"/>
          <w:color w:val="auto"/>
          <w:kern w:val="0"/>
          <w:sz w:val="32"/>
          <w:szCs w:val="32"/>
        </w:rPr>
        <w:t>各部门职责：</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firstLine="643"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1</w:t>
      </w:r>
      <w:r>
        <w:rPr>
          <w:rFonts w:hint="eastAsia" w:ascii="仿宋_GB2312" w:hAnsi="仿宋_GB2312" w:eastAsia="仿宋_GB2312" w:cs="仿宋_GB2312"/>
          <w:b/>
          <w:bCs/>
          <w:color w:val="auto"/>
          <w:kern w:val="0"/>
          <w:sz w:val="32"/>
          <w:szCs w:val="32"/>
          <w:lang w:val="en-US" w:eastAsia="zh-CN"/>
        </w:rPr>
        <w:t>.</w:t>
      </w:r>
      <w:r>
        <w:rPr>
          <w:rFonts w:hint="eastAsia" w:ascii="仿宋_GB2312" w:hAnsi="仿宋_GB2312" w:eastAsia="仿宋_GB2312" w:cs="仿宋_GB2312"/>
          <w:color w:val="auto"/>
          <w:kern w:val="0"/>
          <w:sz w:val="32"/>
          <w:szCs w:val="32"/>
        </w:rPr>
        <w:t>质量控制办公室·发展规划处负责项目前期的功能需求调研、论证等工作；</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2</w:t>
      </w:r>
      <w:r>
        <w:rPr>
          <w:rFonts w:hint="eastAsia" w:ascii="仿宋_GB2312" w:hAnsi="仿宋_GB2312" w:eastAsia="仿宋_GB2312" w:cs="仿宋_GB2312"/>
          <w:color w:val="auto"/>
          <w:kern w:val="0"/>
          <w:sz w:val="32"/>
          <w:szCs w:val="32"/>
          <w:lang w:val="en-US" w:eastAsia="zh-CN"/>
        </w:rPr>
        <w:t>.</w:t>
      </w:r>
      <w:r>
        <w:rPr>
          <w:rFonts w:hint="eastAsia" w:ascii="仿宋_GB2312" w:hAnsi="仿宋_GB2312" w:eastAsia="仿宋_GB2312" w:cs="仿宋_GB2312"/>
          <w:color w:val="auto"/>
          <w:kern w:val="0"/>
          <w:sz w:val="32"/>
          <w:szCs w:val="32"/>
        </w:rPr>
        <w:t>资产与后勤管理处负责立项上报、前期准备和报建、合同签订及付款、施工及竣工验收及交付（实体与资料）等各项管理；</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3</w:t>
      </w:r>
      <w:r>
        <w:rPr>
          <w:rFonts w:hint="eastAsia" w:ascii="仿宋_GB2312" w:hAnsi="仿宋_GB2312" w:eastAsia="仿宋_GB2312" w:cs="仿宋_GB2312"/>
          <w:color w:val="auto"/>
          <w:kern w:val="0"/>
          <w:sz w:val="32"/>
          <w:szCs w:val="32"/>
          <w:lang w:val="en-US" w:eastAsia="zh-CN"/>
        </w:rPr>
        <w:t>.</w:t>
      </w:r>
      <w:r>
        <w:rPr>
          <w:rFonts w:hint="eastAsia" w:ascii="仿宋_GB2312" w:hAnsi="仿宋_GB2312" w:eastAsia="仿宋_GB2312" w:cs="仿宋_GB2312"/>
          <w:color w:val="auto"/>
          <w:kern w:val="0"/>
          <w:sz w:val="32"/>
          <w:szCs w:val="32"/>
        </w:rPr>
        <w:t>信息中心负责项目建设的智能化专业组织与管理；</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4</w:t>
      </w:r>
      <w:r>
        <w:rPr>
          <w:rFonts w:hint="eastAsia" w:ascii="仿宋_GB2312" w:hAnsi="仿宋_GB2312" w:eastAsia="仿宋_GB2312" w:cs="仿宋_GB2312"/>
          <w:color w:val="auto"/>
          <w:kern w:val="0"/>
          <w:sz w:val="32"/>
          <w:szCs w:val="32"/>
          <w:lang w:val="en-US" w:eastAsia="zh-CN"/>
        </w:rPr>
        <w:t>.</w:t>
      </w:r>
      <w:r>
        <w:rPr>
          <w:rFonts w:hint="eastAsia" w:ascii="仿宋_GB2312" w:hAnsi="仿宋_GB2312" w:eastAsia="仿宋_GB2312" w:cs="仿宋_GB2312"/>
          <w:color w:val="auto"/>
          <w:kern w:val="0"/>
          <w:sz w:val="32"/>
          <w:szCs w:val="32"/>
        </w:rPr>
        <w:t>招标采购管理中心负责建设工程项目招标活动的指导、组织管理;</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5</w:t>
      </w:r>
      <w:r>
        <w:rPr>
          <w:rFonts w:hint="eastAsia" w:ascii="仿宋_GB2312" w:hAnsi="仿宋_GB2312" w:eastAsia="仿宋_GB2312" w:cs="仿宋_GB2312"/>
          <w:color w:val="auto"/>
          <w:kern w:val="0"/>
          <w:sz w:val="32"/>
          <w:szCs w:val="32"/>
          <w:lang w:val="en-US" w:eastAsia="zh-CN"/>
        </w:rPr>
        <w:t>.</w:t>
      </w:r>
      <w:r>
        <w:rPr>
          <w:rFonts w:hint="eastAsia" w:ascii="仿宋_GB2312" w:hAnsi="仿宋_GB2312" w:eastAsia="仿宋_GB2312" w:cs="仿宋_GB2312"/>
          <w:color w:val="auto"/>
          <w:kern w:val="0"/>
          <w:sz w:val="32"/>
          <w:szCs w:val="32"/>
        </w:rPr>
        <w:t>审计处根据建设工程项目的不同阶段，负责前期投资估算、概预算、拦标价的审核，工程款支付审核，项目跟踪审计及结算审计；</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6</w:t>
      </w:r>
      <w:r>
        <w:rPr>
          <w:rFonts w:hint="eastAsia" w:ascii="仿宋_GB2312" w:hAnsi="仿宋_GB2312" w:eastAsia="仿宋_GB2312" w:cs="仿宋_GB2312"/>
          <w:color w:val="auto"/>
          <w:kern w:val="0"/>
          <w:sz w:val="32"/>
          <w:szCs w:val="32"/>
          <w:lang w:val="en-US" w:eastAsia="zh-CN"/>
        </w:rPr>
        <w:t>.</w:t>
      </w:r>
      <w:r>
        <w:rPr>
          <w:rFonts w:hint="eastAsia" w:ascii="仿宋_GB2312" w:hAnsi="仿宋_GB2312" w:eastAsia="仿宋_GB2312" w:cs="仿宋_GB2312"/>
          <w:color w:val="auto"/>
          <w:kern w:val="0"/>
          <w:sz w:val="32"/>
          <w:szCs w:val="32"/>
        </w:rPr>
        <w:t>财务处负责基本建设投资计划的编制、实施及竣工财务决算，严格监督项目资金的使用情况,做好相应的财务管理工作；</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7</w:t>
      </w:r>
      <w:r>
        <w:rPr>
          <w:rFonts w:hint="eastAsia" w:ascii="仿宋_GB2312" w:hAnsi="仿宋_GB2312" w:eastAsia="仿宋_GB2312" w:cs="仿宋_GB2312"/>
          <w:color w:val="auto"/>
          <w:kern w:val="0"/>
          <w:sz w:val="32"/>
          <w:szCs w:val="32"/>
          <w:lang w:val="en-US" w:eastAsia="zh-CN"/>
        </w:rPr>
        <w:t>.</w:t>
      </w:r>
      <w:r>
        <w:rPr>
          <w:rFonts w:hint="eastAsia" w:ascii="仿宋_GB2312" w:hAnsi="仿宋_GB2312" w:eastAsia="仿宋_GB2312" w:cs="仿宋_GB2312"/>
          <w:color w:val="auto"/>
          <w:kern w:val="0"/>
          <w:sz w:val="32"/>
          <w:szCs w:val="32"/>
        </w:rPr>
        <w:t>纪委办公室（监察处）负责对基本建设工程进行“嵌入式”监督，受理相关举报，查处相关违规违纪行为。</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firstLine="643"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第七条</w:t>
      </w:r>
      <w:r>
        <w:rPr>
          <w:rFonts w:hint="eastAsia" w:ascii="仿宋_GB2312" w:hAnsi="仿宋_GB2312" w:eastAsia="仿宋_GB2312" w:cs="仿宋_GB2312"/>
          <w:color w:val="auto"/>
          <w:kern w:val="0"/>
          <w:sz w:val="32"/>
          <w:szCs w:val="32"/>
        </w:rPr>
        <w:t xml:space="preserve"> 二级学院（部）、职能部门等二级单位是建设工程项目服务的主体，应切实根据自身情况提出工程项目需求,并积极参与涉及本部门的建设工程项目的管理。</w:t>
      </w:r>
    </w:p>
    <w:p>
      <w:pPr>
        <w:keepNext w:val="0"/>
        <w:keepLines w:val="0"/>
        <w:pageBreakBefore w:val="0"/>
        <w:widowControl w:val="0"/>
        <w:kinsoku/>
        <w:wordWrap/>
        <w:overflowPunct/>
        <w:topLinePunct w:val="0"/>
        <w:autoSpaceDE/>
        <w:autoSpaceDN/>
        <w:bidi w:val="0"/>
        <w:adjustRightInd w:val="0"/>
        <w:snapToGrid w:val="0"/>
        <w:spacing w:before="100" w:beforeAutospacing="0" w:after="100" w:afterAutospacing="0" w:line="600" w:lineRule="exact"/>
        <w:ind w:firstLine="640" w:firstLineChars="200"/>
        <w:jc w:val="both"/>
        <w:textAlignment w:val="auto"/>
        <w:outlineLvl w:val="9"/>
        <w:rPr>
          <w:rFonts w:hint="eastAsia" w:ascii="仿宋_GB2312" w:hAnsi="仿宋_GB2312" w:eastAsia="仿宋_GB2312" w:cs="仿宋_GB2312"/>
          <w:color w:val="auto"/>
          <w:kern w:val="0"/>
          <w:sz w:val="32"/>
          <w:szCs w:val="32"/>
        </w:rPr>
      </w:pPr>
    </w:p>
    <w:p>
      <w:pPr>
        <w:keepNext w:val="0"/>
        <w:keepLines w:val="0"/>
        <w:pageBreakBefore w:val="0"/>
        <w:widowControl w:val="0"/>
        <w:kinsoku/>
        <w:wordWrap/>
        <w:overflowPunct/>
        <w:topLinePunct w:val="0"/>
        <w:autoSpaceDE/>
        <w:autoSpaceDN/>
        <w:bidi w:val="0"/>
        <w:adjustRightInd w:val="0"/>
        <w:snapToGrid w:val="0"/>
        <w:spacing w:before="100" w:beforeAutospacing="0" w:afterAutospacing="0" w:line="600" w:lineRule="exact"/>
        <w:jc w:val="center"/>
        <w:textAlignment w:val="auto"/>
        <w:outlineLvl w:val="1"/>
        <w:rPr>
          <w:rFonts w:hint="eastAsia" w:ascii="黑体" w:hAnsi="黑体" w:eastAsia="黑体" w:cs="宋体"/>
          <w:color w:val="auto"/>
          <w:kern w:val="0"/>
          <w:sz w:val="32"/>
          <w:szCs w:val="32"/>
        </w:rPr>
      </w:pPr>
      <w:r>
        <w:rPr>
          <w:rFonts w:hint="eastAsia" w:ascii="黑体" w:hAnsi="黑体" w:eastAsia="黑体" w:cs="宋体"/>
          <w:color w:val="auto"/>
          <w:kern w:val="0"/>
          <w:sz w:val="32"/>
          <w:szCs w:val="32"/>
        </w:rPr>
        <w:t>第三章 工程项目立项</w:t>
      </w:r>
    </w:p>
    <w:p>
      <w:pPr>
        <w:pStyle w:val="8"/>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600" w:lineRule="exact"/>
        <w:ind w:firstLine="643"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 xml:space="preserve">第八条 </w:t>
      </w:r>
      <w:r>
        <w:rPr>
          <w:rFonts w:hint="eastAsia" w:ascii="仿宋_GB2312" w:hAnsi="仿宋_GB2312" w:eastAsia="仿宋_GB2312" w:cs="仿宋_GB2312"/>
          <w:color w:val="auto"/>
          <w:sz w:val="32"/>
          <w:szCs w:val="32"/>
        </w:rPr>
        <w:t>建设项目的立项应遵从有关规定，根据学校事业发展总体规划和财务状况，通过校务公开、教职工代表大会、官方网站和校园公开栏等多种方式和途径充分征求教职工意见，对项目建设功能及规模进行广泛调研及充分论证，同时对项目建设的必要性、重要性及可行性进行论证，将论证意见提交校长办公会审议，最终由学校党委会研究确定项目建设地点、建设规模、建设标准、使用功能和项目估算投资等。</w:t>
      </w:r>
    </w:p>
    <w:p>
      <w:pPr>
        <w:pStyle w:val="8"/>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600" w:lineRule="exact"/>
        <w:ind w:firstLine="643"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 xml:space="preserve">第九条 </w:t>
      </w:r>
      <w:r>
        <w:rPr>
          <w:rFonts w:hint="eastAsia" w:ascii="仿宋_GB2312" w:hAnsi="仿宋_GB2312" w:eastAsia="仿宋_GB2312" w:cs="仿宋_GB2312"/>
          <w:color w:val="auto"/>
          <w:sz w:val="32"/>
          <w:szCs w:val="32"/>
        </w:rPr>
        <w:t>建设项目经学校党委会研究同意后，资产与后勤管理处应及时开展项目的立项上报前期工作，同时需制定出工程项目整体轮廓与总体进度计划，确定控制节点并提出控制计划目标，确保在学校制定的各项目建设周期内完成建设任务。</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firstLine="643"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 xml:space="preserve">第十条 </w:t>
      </w:r>
      <w:r>
        <w:rPr>
          <w:rFonts w:hint="eastAsia" w:ascii="仿宋_GB2312" w:hAnsi="仿宋_GB2312" w:eastAsia="仿宋_GB2312" w:cs="仿宋_GB2312"/>
          <w:color w:val="auto"/>
          <w:kern w:val="0"/>
          <w:sz w:val="32"/>
          <w:szCs w:val="32"/>
        </w:rPr>
        <w:t>按照党委会会议精神，资产与后勤管理处组织相应资质的单位编制项目建议书，项目建议书经校长办公会会议通过后办理报批手续。项目建议书经省主管部门批准后，资产与后勤管理处委托有资质的单位编制环境影响评估表（报告）、能源评估报告、社会稳定风险评估及可行性研究报告，经校长办公会会议通过后办理报批手续。</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firstLine="643"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 xml:space="preserve">第十一条 </w:t>
      </w:r>
      <w:r>
        <w:rPr>
          <w:rFonts w:hint="eastAsia" w:ascii="仿宋_GB2312" w:hAnsi="仿宋_GB2312" w:eastAsia="仿宋_GB2312" w:cs="仿宋_GB2312"/>
          <w:color w:val="auto"/>
          <w:kern w:val="0"/>
          <w:sz w:val="32"/>
          <w:szCs w:val="32"/>
        </w:rPr>
        <w:t>可行性研究报告经主管部门批准后，项目预算纳入学校年度财政预算，由财务处按规定向上级单位办理相关报批手续，</w:t>
      </w:r>
      <w:r>
        <w:rPr>
          <w:rFonts w:hint="eastAsia" w:ascii="仿宋_GB2312" w:hAnsi="仿宋_GB2312" w:eastAsia="仿宋_GB2312" w:cs="仿宋_GB2312"/>
          <w:color w:val="auto"/>
          <w:kern w:val="0"/>
          <w:sz w:val="32"/>
          <w:szCs w:val="32"/>
        </w:rPr>
        <w:t>同时，在项目实施过程中应严格执行资金使用公开制度，在校园网公开工程预算安排、工程资金筹措、工程计量支付等情况。</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firstLine="643"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第十二条</w:t>
      </w:r>
      <w:r>
        <w:rPr>
          <w:rFonts w:hint="eastAsia" w:ascii="仿宋_GB2312" w:hAnsi="仿宋_GB2312" w:eastAsia="仿宋_GB2312" w:cs="仿宋_GB2312"/>
          <w:color w:val="auto"/>
          <w:kern w:val="0"/>
          <w:sz w:val="32"/>
          <w:szCs w:val="32"/>
        </w:rPr>
        <w:t xml:space="preserve"> 项目建议书和可行性研究报告上报后，资产与后勤管理处做好与地方政府土地、规划、消防、环保、卫生、绿化、民防、抗震、供电、供水、市政、保险等主管部门以及常州科教城管委会的沟通协调，及时完成各类前期报批手续，推进项目通过政府部门的前期报建审批。</w:t>
      </w:r>
    </w:p>
    <w:p>
      <w:pPr>
        <w:pStyle w:val="8"/>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600" w:lineRule="exact"/>
        <w:ind w:firstLine="643" w:firstLineChars="200"/>
        <w:jc w:val="both"/>
        <w:textAlignment w:val="auto"/>
        <w:outlineLvl w:val="9"/>
        <w:rPr>
          <w:rFonts w:hint="eastAsia" w:ascii="仿宋_GB2312" w:hAnsi="仿宋_GB2312" w:eastAsia="仿宋_GB2312" w:cs="仿宋_GB2312"/>
          <w:bCs/>
          <w:color w:val="auto"/>
          <w:sz w:val="32"/>
          <w:szCs w:val="32"/>
        </w:rPr>
      </w:pPr>
      <w:r>
        <w:rPr>
          <w:rFonts w:hint="eastAsia" w:ascii="仿宋_GB2312" w:hAnsi="仿宋_GB2312" w:eastAsia="仿宋_GB2312" w:cs="仿宋_GB2312"/>
          <w:b/>
          <w:bCs/>
          <w:color w:val="auto"/>
          <w:sz w:val="32"/>
          <w:szCs w:val="32"/>
        </w:rPr>
        <w:t xml:space="preserve">第十三条 </w:t>
      </w:r>
      <w:r>
        <w:rPr>
          <w:rFonts w:hint="eastAsia" w:ascii="仿宋_GB2312" w:hAnsi="仿宋_GB2312" w:eastAsia="仿宋_GB2312" w:cs="仿宋_GB2312"/>
          <w:bCs/>
          <w:color w:val="auto"/>
          <w:sz w:val="32"/>
          <w:szCs w:val="32"/>
        </w:rPr>
        <w:t>坚持项目实施的严肃性和延续性，项目实施应严格按照批复文件执行，如有重大变化，应及时办理相关调整手续，其中项目总投资超过批准规模10%（大中型项目的单项工程超过1000万元）或建筑面积超过10%的应报学校党委会讨论确定，经党委会批准后，应按照建设项目审批程序上报省级主管部门批准后进行调整。</w:t>
      </w:r>
    </w:p>
    <w:p>
      <w:pPr>
        <w:pStyle w:val="8"/>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600" w:lineRule="exact"/>
        <w:ind w:firstLine="640" w:firstLineChars="200"/>
        <w:jc w:val="both"/>
        <w:textAlignment w:val="auto"/>
        <w:outlineLvl w:val="9"/>
        <w:rPr>
          <w:rFonts w:hint="eastAsia" w:ascii="仿宋_GB2312" w:hAnsi="仿宋_GB2312" w:eastAsia="仿宋_GB2312" w:cs="仿宋_GB2312"/>
          <w:bCs/>
          <w:color w:val="auto"/>
          <w:sz w:val="32"/>
          <w:szCs w:val="32"/>
        </w:rPr>
      </w:pPr>
    </w:p>
    <w:p>
      <w:pPr>
        <w:keepNext w:val="0"/>
        <w:keepLines w:val="0"/>
        <w:pageBreakBefore w:val="0"/>
        <w:widowControl w:val="0"/>
        <w:kinsoku/>
        <w:wordWrap/>
        <w:overflowPunct/>
        <w:topLinePunct w:val="0"/>
        <w:autoSpaceDE/>
        <w:autoSpaceDN/>
        <w:bidi w:val="0"/>
        <w:adjustRightInd w:val="0"/>
        <w:snapToGrid w:val="0"/>
        <w:spacing w:before="100" w:beforeAutospacing="0" w:afterAutospacing="0" w:line="600" w:lineRule="exact"/>
        <w:jc w:val="center"/>
        <w:textAlignment w:val="auto"/>
        <w:outlineLvl w:val="1"/>
        <w:rPr>
          <w:rFonts w:hint="eastAsia" w:ascii="黑体" w:hAnsi="黑体" w:eastAsia="黑体" w:cs="宋体"/>
          <w:color w:val="auto"/>
          <w:kern w:val="0"/>
          <w:sz w:val="32"/>
          <w:szCs w:val="32"/>
        </w:rPr>
      </w:pPr>
      <w:r>
        <w:rPr>
          <w:rFonts w:hint="eastAsia" w:ascii="黑体" w:hAnsi="黑体" w:eastAsia="黑体" w:cs="宋体"/>
          <w:color w:val="auto"/>
          <w:kern w:val="0"/>
          <w:sz w:val="32"/>
          <w:szCs w:val="32"/>
        </w:rPr>
        <w:t>第四章 工程项目勘察设计与概预算</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firstLine="643"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第十四条</w:t>
      </w:r>
      <w:r>
        <w:rPr>
          <w:rFonts w:hint="eastAsia" w:ascii="仿宋_GB2312" w:hAnsi="仿宋_GB2312" w:eastAsia="仿宋_GB2312" w:cs="仿宋_GB2312"/>
          <w:color w:val="auto"/>
          <w:kern w:val="0"/>
          <w:sz w:val="32"/>
          <w:szCs w:val="32"/>
        </w:rPr>
        <w:t xml:space="preserve"> 工程可行性研究报告获批后，资产与后勤管理处负责组织具备相应资质的单位进行项目场地勘察，编制项目初步设计、施工图设计和概预算方案。勘察设计及概预算方案应当与项目功能相符合、与社会经济发展水平相适应，做到经济效益、社会效益和环境效益相统一。</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firstLine="643"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第十五条</w:t>
      </w:r>
      <w:r>
        <w:rPr>
          <w:rFonts w:hint="eastAsia" w:ascii="仿宋_GB2312" w:hAnsi="仿宋_GB2312" w:eastAsia="仿宋_GB2312" w:cs="仿宋_GB2312"/>
          <w:color w:val="auto"/>
          <w:kern w:val="0"/>
          <w:sz w:val="32"/>
          <w:szCs w:val="32"/>
        </w:rPr>
        <w:t xml:space="preserve"> 在初步设计和施工图设计编制过程中，资产与后勤管理处应组织设计单位、使用单位及学校相关部门开展设计方案讨论，确保方案合理可行。方案编制完成后，资产与后勤管理处按常州市相关规定，将初步设计报建设主管部门审批，将施工图及相关设计文件送专业的审图公司审查。</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firstLine="643"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第十六条</w:t>
      </w:r>
      <w:r>
        <w:rPr>
          <w:rFonts w:hint="eastAsia" w:ascii="仿宋_GB2312" w:hAnsi="仿宋_GB2312" w:eastAsia="仿宋_GB2312" w:cs="仿宋_GB2312"/>
          <w:color w:val="auto"/>
          <w:kern w:val="0"/>
          <w:sz w:val="32"/>
          <w:szCs w:val="32"/>
        </w:rPr>
        <w:t xml:space="preserve"> 财务处应根据概预算编制资金使用计划，合理安排项目资金配置。</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firstLine="640" w:firstLineChars="200"/>
        <w:jc w:val="both"/>
        <w:textAlignment w:val="auto"/>
        <w:outlineLvl w:val="9"/>
        <w:rPr>
          <w:rFonts w:hint="eastAsia" w:ascii="仿宋_GB2312" w:hAnsi="仿宋_GB2312" w:eastAsia="仿宋_GB2312" w:cs="仿宋_GB2312"/>
          <w:color w:val="auto"/>
          <w:kern w:val="0"/>
          <w:sz w:val="32"/>
          <w:szCs w:val="32"/>
        </w:rPr>
      </w:pPr>
    </w:p>
    <w:p>
      <w:pPr>
        <w:keepNext w:val="0"/>
        <w:keepLines w:val="0"/>
        <w:pageBreakBefore w:val="0"/>
        <w:widowControl w:val="0"/>
        <w:kinsoku/>
        <w:wordWrap/>
        <w:overflowPunct/>
        <w:topLinePunct w:val="0"/>
        <w:autoSpaceDE/>
        <w:autoSpaceDN/>
        <w:bidi w:val="0"/>
        <w:adjustRightInd w:val="0"/>
        <w:snapToGrid w:val="0"/>
        <w:spacing w:before="100" w:beforeAutospacing="0" w:afterAutospacing="0" w:line="600" w:lineRule="exact"/>
        <w:jc w:val="center"/>
        <w:textAlignment w:val="auto"/>
        <w:outlineLvl w:val="1"/>
        <w:rPr>
          <w:rFonts w:hint="eastAsia" w:ascii="黑体" w:hAnsi="黑体" w:eastAsia="黑体" w:cs="宋体"/>
          <w:color w:val="auto"/>
          <w:kern w:val="0"/>
          <w:sz w:val="32"/>
          <w:szCs w:val="32"/>
        </w:rPr>
      </w:pPr>
      <w:r>
        <w:rPr>
          <w:rFonts w:hint="eastAsia" w:ascii="黑体" w:hAnsi="黑体" w:eastAsia="黑体" w:cs="宋体"/>
          <w:color w:val="auto"/>
          <w:kern w:val="0"/>
          <w:sz w:val="32"/>
          <w:szCs w:val="32"/>
        </w:rPr>
        <w:t>第五章 工程项目建设招标</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firstLine="643"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 xml:space="preserve">第十七条 </w:t>
      </w:r>
      <w:r>
        <w:rPr>
          <w:rFonts w:hint="eastAsia" w:ascii="仿宋_GB2312" w:hAnsi="仿宋_GB2312" w:eastAsia="仿宋_GB2312" w:cs="仿宋_GB2312"/>
          <w:color w:val="auto"/>
          <w:kern w:val="0"/>
          <w:sz w:val="32"/>
          <w:szCs w:val="32"/>
        </w:rPr>
        <w:t>建设项目依法实行招标投标制度。勘察、设计、施工、监理、设备和材料采购、工程造价咨询</w:t>
      </w:r>
      <w:r>
        <w:rPr>
          <w:rFonts w:hint="eastAsia" w:ascii="仿宋_GB2312" w:hAnsi="仿宋_GB2312" w:eastAsia="仿宋_GB2312" w:cs="仿宋_GB2312"/>
          <w:color w:val="auto"/>
          <w:kern w:val="0"/>
          <w:sz w:val="32"/>
          <w:szCs w:val="32"/>
        </w:rPr>
        <w:t>、代建单位选择等均应依法实行招标。任何单位和个人都不得插手干预工程建设项目招投标活动。</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firstLine="643"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 xml:space="preserve">第十八条 </w:t>
      </w:r>
      <w:r>
        <w:rPr>
          <w:rFonts w:hint="eastAsia" w:ascii="仿宋_GB2312" w:hAnsi="仿宋_GB2312" w:eastAsia="仿宋_GB2312" w:cs="仿宋_GB2312"/>
          <w:color w:val="auto"/>
          <w:kern w:val="0"/>
          <w:sz w:val="32"/>
          <w:szCs w:val="32"/>
        </w:rPr>
        <w:t>项目实施的各个阶段，资产与后勤管理处提出招标代理、检测、勘察、设计、监理和施工等参建单位的招标申请。招标采购管理中心应及时制定招标计划、组织编制招标文件及工程量清单，并按照招标管理办法，负责推进工程项目建设招标工作。招标结束后应及时将招投标文件等材料及时移交资产与后勤管理处。资产与后勤管理处对相关资料进行审核，对施工方的资质、施工方项目经理身份等进行审核。资料不齐全、资质不符合不予施工，杜绝工程转包现象发生。</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firstLine="643"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第十九条</w:t>
      </w:r>
      <w:r>
        <w:rPr>
          <w:rFonts w:hint="eastAsia" w:ascii="仿宋_GB2312" w:hAnsi="仿宋_GB2312" w:eastAsia="仿宋_GB2312" w:cs="仿宋_GB2312"/>
          <w:color w:val="auto"/>
          <w:kern w:val="0"/>
          <w:sz w:val="32"/>
          <w:szCs w:val="32"/>
        </w:rPr>
        <w:t xml:space="preserve"> 在建设工程项目招标中，资产与后勤管理处负责招标文件的技术性审核，包括付款和结算，质量、工期和进度，技术参数、技术要求、现场管理要求，以及评标办法等各项条款。</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firstLine="643"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第二十条</w:t>
      </w:r>
      <w:r>
        <w:rPr>
          <w:rFonts w:hint="eastAsia" w:ascii="仿宋_GB2312" w:hAnsi="仿宋_GB2312" w:eastAsia="仿宋_GB2312" w:cs="仿宋_GB2312"/>
          <w:color w:val="auto"/>
          <w:kern w:val="0"/>
          <w:sz w:val="32"/>
          <w:szCs w:val="32"/>
        </w:rPr>
        <w:t xml:space="preserve"> 审计处应根据项目实施进度的需求，向招标采购管理中心提出工程造价咨询审计单位的招标申请，确定咨询单位后组织其对投资估算、概预算、</w:t>
      </w:r>
      <w:r>
        <w:rPr>
          <w:rFonts w:hint="eastAsia" w:ascii="仿宋_GB2312" w:hAnsi="仿宋_GB2312" w:eastAsia="仿宋_GB2312" w:cs="仿宋_GB2312"/>
          <w:color w:val="auto"/>
          <w:kern w:val="0"/>
          <w:sz w:val="32"/>
          <w:szCs w:val="32"/>
        </w:rPr>
        <w:t>工程量清单及标底、拦标价和招标文件等</w:t>
      </w:r>
      <w:r>
        <w:rPr>
          <w:rFonts w:hint="eastAsia" w:ascii="仿宋_GB2312" w:hAnsi="仿宋_GB2312" w:eastAsia="仿宋_GB2312" w:cs="仿宋_GB2312"/>
          <w:color w:val="auto"/>
          <w:kern w:val="0"/>
          <w:sz w:val="32"/>
          <w:szCs w:val="32"/>
        </w:rPr>
        <w:t>进行审查。</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firstLine="640" w:firstLineChars="200"/>
        <w:jc w:val="both"/>
        <w:textAlignment w:val="auto"/>
        <w:outlineLvl w:val="9"/>
        <w:rPr>
          <w:rFonts w:hint="eastAsia" w:ascii="仿宋_GB2312" w:hAnsi="仿宋_GB2312" w:eastAsia="仿宋_GB2312" w:cs="仿宋_GB2312"/>
          <w:color w:val="auto"/>
          <w:kern w:val="0"/>
          <w:sz w:val="32"/>
          <w:szCs w:val="32"/>
        </w:rPr>
      </w:pPr>
    </w:p>
    <w:p>
      <w:pPr>
        <w:keepNext w:val="0"/>
        <w:keepLines w:val="0"/>
        <w:pageBreakBefore w:val="0"/>
        <w:widowControl w:val="0"/>
        <w:kinsoku/>
        <w:wordWrap/>
        <w:overflowPunct/>
        <w:topLinePunct w:val="0"/>
        <w:autoSpaceDE/>
        <w:autoSpaceDN/>
        <w:bidi w:val="0"/>
        <w:adjustRightInd w:val="0"/>
        <w:snapToGrid w:val="0"/>
        <w:spacing w:before="100" w:beforeAutospacing="0" w:afterAutospacing="0" w:line="600" w:lineRule="exact"/>
        <w:jc w:val="center"/>
        <w:textAlignment w:val="auto"/>
        <w:outlineLvl w:val="1"/>
        <w:rPr>
          <w:rFonts w:hint="eastAsia" w:ascii="黑体" w:hAnsi="黑体" w:eastAsia="黑体" w:cs="宋体"/>
          <w:color w:val="auto"/>
          <w:kern w:val="0"/>
          <w:sz w:val="32"/>
          <w:szCs w:val="32"/>
        </w:rPr>
      </w:pPr>
      <w:r>
        <w:rPr>
          <w:rFonts w:hint="eastAsia" w:ascii="黑体" w:hAnsi="黑体" w:eastAsia="黑体" w:cs="宋体"/>
          <w:color w:val="auto"/>
          <w:kern w:val="0"/>
          <w:sz w:val="32"/>
          <w:szCs w:val="32"/>
        </w:rPr>
        <w:t>第六章 工程项目建设施工</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firstLine="643"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第二十一条</w:t>
      </w:r>
      <w:r>
        <w:rPr>
          <w:rFonts w:hint="eastAsia" w:ascii="仿宋_GB2312" w:hAnsi="仿宋_GB2312" w:eastAsia="仿宋_GB2312" w:cs="仿宋_GB2312"/>
          <w:color w:val="auto"/>
          <w:kern w:val="0"/>
          <w:sz w:val="32"/>
          <w:szCs w:val="32"/>
        </w:rPr>
        <w:t xml:space="preserve"> 依据建设投资总额以及相关合同条款，资产与后勤管理处全面组织项目实施推进，负责工程建设过程中质量、进度、造价、安全及文明施工等内容的管理，合理论证设计变更，确保工程质量和工期，严格控制项目总造价。</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firstLine="643"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第二十二条</w:t>
      </w:r>
      <w:r>
        <w:rPr>
          <w:rFonts w:hint="eastAsia" w:ascii="仿宋_GB2312" w:hAnsi="仿宋_GB2312" w:eastAsia="仿宋_GB2312" w:cs="仿宋_GB2312"/>
          <w:color w:val="auto"/>
          <w:kern w:val="0"/>
          <w:sz w:val="32"/>
          <w:szCs w:val="32"/>
        </w:rPr>
        <w:t xml:space="preserve"> 项目实施过程中，资产与后勤管理处代表学校组织协调建设单位、监理单位、施工单位、咨询单位及各种材料设备供应商，通过技术交底会、工程例会和各类专题会的形式，严格管理并审核工程建设过程中的各类调整，并通过技术核定单、设计变更，现场签证等程序对必要的调整予以确认，审计处组织实施全过程跟踪审计。</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firstLine="643"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第二十三条</w:t>
      </w:r>
      <w:r>
        <w:rPr>
          <w:rFonts w:hint="eastAsia" w:ascii="仿宋_GB2312" w:hAnsi="仿宋_GB2312" w:eastAsia="仿宋_GB2312" w:cs="仿宋_GB2312"/>
          <w:color w:val="auto"/>
          <w:kern w:val="0"/>
          <w:sz w:val="32"/>
          <w:szCs w:val="32"/>
        </w:rPr>
        <w:t xml:space="preserve"> 资产与后勤管理处应督促施工单位按照文明工地的标准，建立健全并落实工程质量控制体系、安全生产责任体系，并代表学校做好监督检查工作，及时消除各种不安全因素，确保项目文明、安全、高效的施工建设。</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firstLine="643"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第二十四条</w:t>
      </w:r>
      <w:r>
        <w:rPr>
          <w:rFonts w:hint="eastAsia" w:ascii="仿宋_GB2312" w:hAnsi="仿宋_GB2312" w:eastAsia="仿宋_GB2312" w:cs="仿宋_GB2312"/>
          <w:color w:val="auto"/>
          <w:kern w:val="0"/>
          <w:sz w:val="32"/>
          <w:szCs w:val="32"/>
        </w:rPr>
        <w:t xml:space="preserve"> 基建项目进度款、工程材料设备款、竣工结算款的支付必须严格执行合同规定，经工程监理、造价咨询单位初审，资产与后勤管理处、审计处审定复核确认后，由财务处审核支付。</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firstLine="640" w:firstLineChars="200"/>
        <w:jc w:val="both"/>
        <w:textAlignment w:val="auto"/>
        <w:outlineLvl w:val="9"/>
        <w:rPr>
          <w:rFonts w:hint="eastAsia" w:ascii="仿宋_GB2312" w:hAnsi="仿宋_GB2312" w:eastAsia="仿宋_GB2312" w:cs="仿宋_GB2312"/>
          <w:color w:val="auto"/>
          <w:kern w:val="0"/>
          <w:sz w:val="32"/>
          <w:szCs w:val="32"/>
        </w:rPr>
      </w:pPr>
    </w:p>
    <w:p>
      <w:pPr>
        <w:keepNext w:val="0"/>
        <w:keepLines w:val="0"/>
        <w:pageBreakBefore w:val="0"/>
        <w:widowControl w:val="0"/>
        <w:kinsoku/>
        <w:wordWrap/>
        <w:overflowPunct/>
        <w:topLinePunct w:val="0"/>
        <w:autoSpaceDE/>
        <w:autoSpaceDN/>
        <w:bidi w:val="0"/>
        <w:adjustRightInd w:val="0"/>
        <w:snapToGrid w:val="0"/>
        <w:spacing w:before="100" w:beforeAutospacing="0" w:afterAutospacing="0" w:line="600" w:lineRule="exact"/>
        <w:jc w:val="center"/>
        <w:textAlignment w:val="auto"/>
        <w:outlineLvl w:val="1"/>
        <w:rPr>
          <w:rFonts w:hint="eastAsia" w:ascii="黑体" w:hAnsi="黑体" w:eastAsia="黑体" w:cs="宋体"/>
          <w:color w:val="auto"/>
          <w:kern w:val="0"/>
          <w:sz w:val="32"/>
          <w:szCs w:val="32"/>
        </w:rPr>
      </w:pPr>
      <w:r>
        <w:rPr>
          <w:rFonts w:hint="eastAsia" w:ascii="黑体" w:hAnsi="黑体" w:eastAsia="黑体" w:cs="宋体"/>
          <w:color w:val="auto"/>
          <w:kern w:val="0"/>
          <w:sz w:val="32"/>
          <w:szCs w:val="32"/>
        </w:rPr>
        <w:t>第七章 工程项目竣工验收、交付和档案管理</w:t>
      </w:r>
    </w:p>
    <w:p>
      <w:pPr>
        <w:keepNext w:val="0"/>
        <w:keepLines w:val="0"/>
        <w:pageBreakBefore w:val="0"/>
        <w:widowControl w:val="0"/>
        <w:kinsoku/>
        <w:wordWrap/>
        <w:overflowPunct/>
        <w:topLinePunct w:val="0"/>
        <w:autoSpaceDE/>
        <w:autoSpaceDN/>
        <w:bidi w:val="0"/>
        <w:adjustRightInd w:val="0"/>
        <w:snapToGrid w:val="0"/>
        <w:spacing w:before="100" w:beforeAutospacing="0" w:after="100" w:afterAutospacing="0" w:line="600" w:lineRule="exact"/>
        <w:ind w:firstLine="643" w:firstLineChars="200"/>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第二十五条</w:t>
      </w:r>
      <w:r>
        <w:rPr>
          <w:rFonts w:hint="eastAsia" w:ascii="仿宋_GB2312" w:hAnsi="仿宋_GB2312" w:eastAsia="仿宋_GB2312" w:cs="仿宋_GB2312"/>
          <w:color w:val="auto"/>
          <w:kern w:val="0"/>
          <w:sz w:val="32"/>
          <w:szCs w:val="32"/>
        </w:rPr>
        <w:t xml:space="preserve"> 建设工程项目竣工后，资产与后勤管理处组织勘察单位、设计单位、施工单位、监理单位以及政府监督部门等，严格按照国家有关规定和工程质量验收规范及施工图纸，对完工的工程项目进行验收，并按照常州市相关主管部门的要求，及时申报竣工验收，验收完毕后按照程序及时向主管部门申办房屋产权证明文件。</w:t>
      </w:r>
    </w:p>
    <w:p>
      <w:pPr>
        <w:keepNext w:val="0"/>
        <w:keepLines w:val="0"/>
        <w:pageBreakBefore w:val="0"/>
        <w:widowControl w:val="0"/>
        <w:kinsoku/>
        <w:wordWrap/>
        <w:overflowPunct/>
        <w:topLinePunct w:val="0"/>
        <w:autoSpaceDE/>
        <w:autoSpaceDN/>
        <w:bidi w:val="0"/>
        <w:adjustRightInd w:val="0"/>
        <w:snapToGrid w:val="0"/>
        <w:spacing w:before="100" w:beforeAutospacing="0" w:after="100" w:afterAutospacing="0" w:line="600" w:lineRule="exact"/>
        <w:ind w:firstLine="643" w:firstLineChars="200"/>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第二十六条</w:t>
      </w:r>
      <w:r>
        <w:rPr>
          <w:rFonts w:hint="eastAsia" w:ascii="仿宋_GB2312" w:hAnsi="仿宋_GB2312" w:eastAsia="仿宋_GB2312" w:cs="仿宋_GB2312"/>
          <w:color w:val="auto"/>
          <w:kern w:val="0"/>
          <w:sz w:val="32"/>
          <w:szCs w:val="32"/>
        </w:rPr>
        <w:t xml:space="preserve"> 在工程验收时，施工单位应出具质量保修书，确认工程的保修范围、保修期限和保修责任等。建设工程项目在保修范围和保修期限内发生质量问题，资产与后勤管理处代表学校责成施工单位履行合同、执行保修义务。</w:t>
      </w:r>
    </w:p>
    <w:p>
      <w:pPr>
        <w:keepNext w:val="0"/>
        <w:keepLines w:val="0"/>
        <w:pageBreakBefore w:val="0"/>
        <w:widowControl w:val="0"/>
        <w:kinsoku/>
        <w:wordWrap/>
        <w:overflowPunct/>
        <w:topLinePunct w:val="0"/>
        <w:autoSpaceDE/>
        <w:autoSpaceDN/>
        <w:bidi w:val="0"/>
        <w:adjustRightInd w:val="0"/>
        <w:snapToGrid w:val="0"/>
        <w:spacing w:before="100" w:beforeAutospacing="0" w:after="100" w:afterAutospacing="0" w:line="600" w:lineRule="exact"/>
        <w:ind w:firstLine="643" w:firstLineChars="200"/>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第二十七条</w:t>
      </w:r>
      <w:r>
        <w:rPr>
          <w:rFonts w:hint="eastAsia" w:ascii="仿宋_GB2312" w:hAnsi="仿宋_GB2312" w:eastAsia="仿宋_GB2312" w:cs="仿宋_GB2312"/>
          <w:color w:val="auto"/>
          <w:kern w:val="0"/>
          <w:sz w:val="32"/>
          <w:szCs w:val="32"/>
        </w:rPr>
        <w:t xml:space="preserve"> 工程竣工验收完成后，资产与后勤管理处对施工方报送的竣工结算报告进行初审，审计部门进行竣工结算审计，工程结算额以审计报告为准。未经竣工验收的工程不得进行工程结算和交付使用。</w:t>
      </w:r>
    </w:p>
    <w:p>
      <w:pPr>
        <w:keepNext w:val="0"/>
        <w:keepLines w:val="0"/>
        <w:pageBreakBefore w:val="0"/>
        <w:widowControl w:val="0"/>
        <w:kinsoku/>
        <w:wordWrap/>
        <w:overflowPunct/>
        <w:topLinePunct w:val="0"/>
        <w:autoSpaceDE/>
        <w:autoSpaceDN/>
        <w:bidi w:val="0"/>
        <w:adjustRightInd w:val="0"/>
        <w:snapToGrid w:val="0"/>
        <w:spacing w:before="100" w:beforeAutospacing="0" w:after="100" w:afterAutospacing="0" w:line="600" w:lineRule="exact"/>
        <w:ind w:firstLine="643" w:firstLineChars="200"/>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第二十八条</w:t>
      </w:r>
      <w:r>
        <w:rPr>
          <w:rFonts w:hint="eastAsia" w:ascii="仿宋_GB2312" w:hAnsi="仿宋_GB2312" w:eastAsia="仿宋_GB2312" w:cs="仿宋_GB2312"/>
          <w:color w:val="auto"/>
          <w:kern w:val="0"/>
          <w:sz w:val="32"/>
          <w:szCs w:val="32"/>
        </w:rPr>
        <w:t xml:space="preserve"> 通过竣工验收的工程项目，由资产与后勤管理处工程管理科作为建设工程项目的交付方，资产与后勤管理处资产管理科作为学校固定资产管理的接收方，财务处提供固定资产投资额，报主管校领导确认后方可入固定资产帐。</w:t>
      </w:r>
    </w:p>
    <w:p>
      <w:pPr>
        <w:keepNext w:val="0"/>
        <w:keepLines w:val="0"/>
        <w:pageBreakBefore w:val="0"/>
        <w:widowControl w:val="0"/>
        <w:kinsoku/>
        <w:wordWrap/>
        <w:overflowPunct/>
        <w:topLinePunct w:val="0"/>
        <w:autoSpaceDE/>
        <w:autoSpaceDN/>
        <w:bidi w:val="0"/>
        <w:adjustRightInd w:val="0"/>
        <w:snapToGrid w:val="0"/>
        <w:spacing w:before="100" w:beforeAutospacing="0" w:after="100" w:afterAutospacing="0" w:line="600" w:lineRule="exact"/>
        <w:ind w:firstLine="643" w:firstLineChars="200"/>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 xml:space="preserve">第二十九条 </w:t>
      </w:r>
      <w:r>
        <w:rPr>
          <w:rFonts w:hint="eastAsia" w:ascii="仿宋_GB2312" w:hAnsi="仿宋_GB2312" w:eastAsia="仿宋_GB2312" w:cs="仿宋_GB2312"/>
          <w:color w:val="auto"/>
          <w:kern w:val="0"/>
          <w:sz w:val="32"/>
          <w:szCs w:val="32"/>
        </w:rPr>
        <w:t>由资产与后勤管理处会同房屋物业管理、信息中心、保卫处等相关部门进行交接，按各自职责办理书面交接手续。</w:t>
      </w:r>
    </w:p>
    <w:p>
      <w:pPr>
        <w:keepNext w:val="0"/>
        <w:keepLines w:val="0"/>
        <w:pageBreakBefore w:val="0"/>
        <w:widowControl w:val="0"/>
        <w:kinsoku/>
        <w:wordWrap/>
        <w:overflowPunct/>
        <w:topLinePunct w:val="0"/>
        <w:autoSpaceDE/>
        <w:autoSpaceDN/>
        <w:bidi w:val="0"/>
        <w:adjustRightInd w:val="0"/>
        <w:snapToGrid w:val="0"/>
        <w:spacing w:before="100" w:beforeAutospacing="0" w:after="100" w:afterAutospacing="0" w:line="600" w:lineRule="exact"/>
        <w:ind w:firstLine="643" w:firstLineChars="200"/>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第三十条</w:t>
      </w:r>
      <w:r>
        <w:rPr>
          <w:rFonts w:hint="eastAsia" w:ascii="仿宋_GB2312" w:hAnsi="仿宋_GB2312" w:eastAsia="仿宋_GB2312" w:cs="仿宋_GB2312"/>
          <w:color w:val="auto"/>
          <w:kern w:val="0"/>
          <w:sz w:val="32"/>
          <w:szCs w:val="32"/>
        </w:rPr>
        <w:t xml:space="preserve"> 工程项目建设过程要与基建文件材料的形成、积累、整理、审定工作同步进行。基建文件材料必须反映项目管理和建设的全过程，做到完整、准确、系统。资产与后勤管理处负责督促参建单位及时移交工程资料，并按规定将资料移交地方政府城建档案馆和学校档案室。</w:t>
      </w:r>
    </w:p>
    <w:p>
      <w:pPr>
        <w:keepNext w:val="0"/>
        <w:keepLines w:val="0"/>
        <w:pageBreakBefore w:val="0"/>
        <w:widowControl w:val="0"/>
        <w:kinsoku/>
        <w:wordWrap/>
        <w:overflowPunct/>
        <w:topLinePunct w:val="0"/>
        <w:autoSpaceDE/>
        <w:autoSpaceDN/>
        <w:bidi w:val="0"/>
        <w:adjustRightInd w:val="0"/>
        <w:snapToGrid w:val="0"/>
        <w:spacing w:before="100" w:beforeAutospacing="0" w:afterAutospacing="0" w:line="600" w:lineRule="exact"/>
        <w:jc w:val="center"/>
        <w:textAlignment w:val="auto"/>
        <w:outlineLvl w:val="1"/>
        <w:rPr>
          <w:rFonts w:ascii="宋体" w:hAnsi="宋体" w:eastAsia="宋体" w:cs="宋体"/>
          <w:b/>
          <w:bCs/>
          <w:color w:val="auto"/>
          <w:kern w:val="0"/>
          <w:sz w:val="36"/>
          <w:szCs w:val="36"/>
        </w:rPr>
      </w:pPr>
      <w:r>
        <w:rPr>
          <w:rFonts w:hint="eastAsia" w:ascii="黑体" w:hAnsi="黑体" w:eastAsia="黑体" w:cs="宋体"/>
          <w:color w:val="auto"/>
          <w:kern w:val="0"/>
          <w:sz w:val="32"/>
          <w:szCs w:val="32"/>
        </w:rPr>
        <w:t>第八章 廉政与评价</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firstLine="643"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第三十一条</w:t>
      </w:r>
      <w:r>
        <w:rPr>
          <w:rFonts w:hint="eastAsia" w:ascii="仿宋_GB2312" w:hAnsi="仿宋_GB2312" w:eastAsia="仿宋_GB2312" w:cs="仿宋_GB2312"/>
          <w:color w:val="auto"/>
          <w:kern w:val="0"/>
          <w:sz w:val="32"/>
          <w:szCs w:val="32"/>
        </w:rPr>
        <w:t xml:space="preserve"> 各相关部门应当加强对工程建设项目各个环节的监督管理，把廉政建设责任落实到位，把廉政风险防范工作融入建设项目的日常管理工作。</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firstLine="643"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第三十二条</w:t>
      </w:r>
      <w:r>
        <w:rPr>
          <w:rFonts w:hint="eastAsia" w:ascii="仿宋_GB2312" w:hAnsi="仿宋_GB2312" w:eastAsia="仿宋_GB2312" w:cs="仿宋_GB2312"/>
          <w:color w:val="auto"/>
          <w:kern w:val="0"/>
          <w:sz w:val="32"/>
          <w:szCs w:val="32"/>
        </w:rPr>
        <w:t xml:space="preserve"> 各级领导干部应当严格执行教育部关于严禁领导干部违反规定插手干预基本建设工程项目管理行为的规定。各项目管理工作人员应严格遵守各项规定，廉洁自律，主动接受学校纪检监察部门和干部群众的监督。</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firstLine="643"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 xml:space="preserve">第三十三条 </w:t>
      </w:r>
      <w:r>
        <w:rPr>
          <w:rFonts w:hint="eastAsia" w:ascii="仿宋_GB2312" w:hAnsi="仿宋_GB2312" w:eastAsia="仿宋_GB2312" w:cs="仿宋_GB2312"/>
          <w:color w:val="auto"/>
          <w:kern w:val="0"/>
          <w:sz w:val="32"/>
          <w:szCs w:val="32"/>
        </w:rPr>
        <w:t>要切实规范项目监督，加强对项目招标投标、施工监理、合同管理等关键环节的监督检查。项目责任人或代建机构、勘察、设计、施工、监理等单位的名称和责任人姓名需在施工现场的显著位置公示；学校纪检监察部门应公布举报电话、设立信箱，受理对项目建设中违法违纪问题的举报。</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firstLine="643"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 xml:space="preserve">第三十四条 </w:t>
      </w:r>
      <w:r>
        <w:rPr>
          <w:rFonts w:hint="eastAsia" w:ascii="仿宋_GB2312" w:hAnsi="仿宋_GB2312" w:eastAsia="仿宋_GB2312" w:cs="仿宋_GB2312"/>
          <w:color w:val="auto"/>
          <w:kern w:val="0"/>
          <w:sz w:val="32"/>
          <w:szCs w:val="32"/>
        </w:rPr>
        <w:t>设计单位、监理单位、跟踪审计单位及学校的任何人严禁向施工单位推荐分包商、材料设备供应商，严禁接受施工单位的宴请，严禁索取和收受施工单位的现金和礼品等，严禁任何单位和个人刁难施工单位。</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firstLine="643"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 xml:space="preserve">第三十五条 </w:t>
      </w:r>
      <w:r>
        <w:rPr>
          <w:rFonts w:hint="eastAsia" w:ascii="仿宋_GB2312" w:hAnsi="仿宋_GB2312" w:eastAsia="仿宋_GB2312" w:cs="仿宋_GB2312"/>
          <w:color w:val="auto"/>
          <w:kern w:val="0"/>
          <w:sz w:val="32"/>
          <w:szCs w:val="32"/>
        </w:rPr>
        <w:t>学校对建设项目实行建成后评价制度。根据有关规定要求，结合实际情况，对项目建成后所达到的实际效果等进行绩效评价。</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firstLine="643"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 xml:space="preserve">第三十六条 </w:t>
      </w:r>
      <w:r>
        <w:rPr>
          <w:rFonts w:hint="eastAsia" w:ascii="仿宋_GB2312" w:hAnsi="仿宋_GB2312" w:eastAsia="仿宋_GB2312" w:cs="仿宋_GB2312"/>
          <w:color w:val="auto"/>
          <w:kern w:val="0"/>
          <w:sz w:val="32"/>
          <w:szCs w:val="32"/>
        </w:rPr>
        <w:t>由于现场管理不善、验收把关不严等造成不良后果或重大损失的，将对相关现场管理者、验收人以及相应责任人进行问责。</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firstLine="640" w:firstLineChars="200"/>
        <w:jc w:val="both"/>
        <w:textAlignment w:val="auto"/>
        <w:outlineLvl w:val="9"/>
        <w:rPr>
          <w:rFonts w:hint="eastAsia" w:ascii="仿宋_GB2312" w:hAnsi="仿宋_GB2312" w:eastAsia="仿宋_GB2312" w:cs="仿宋_GB2312"/>
          <w:color w:val="auto"/>
          <w:kern w:val="0"/>
          <w:sz w:val="32"/>
          <w:szCs w:val="32"/>
        </w:rPr>
      </w:pPr>
    </w:p>
    <w:p>
      <w:pPr>
        <w:keepNext w:val="0"/>
        <w:keepLines w:val="0"/>
        <w:pageBreakBefore w:val="0"/>
        <w:widowControl w:val="0"/>
        <w:kinsoku/>
        <w:wordWrap/>
        <w:overflowPunct/>
        <w:topLinePunct w:val="0"/>
        <w:autoSpaceDE/>
        <w:autoSpaceDN/>
        <w:bidi w:val="0"/>
        <w:adjustRightInd w:val="0"/>
        <w:snapToGrid w:val="0"/>
        <w:spacing w:before="100" w:beforeAutospacing="0" w:afterAutospacing="0" w:line="600" w:lineRule="exact"/>
        <w:jc w:val="center"/>
        <w:textAlignment w:val="auto"/>
        <w:outlineLvl w:val="1"/>
        <w:rPr>
          <w:rFonts w:ascii="宋体" w:hAnsi="宋体" w:eastAsia="宋体" w:cs="宋体"/>
          <w:b/>
          <w:bCs/>
          <w:color w:val="auto"/>
          <w:kern w:val="0"/>
          <w:sz w:val="36"/>
          <w:szCs w:val="36"/>
        </w:rPr>
      </w:pPr>
      <w:r>
        <w:rPr>
          <w:rFonts w:hint="eastAsia" w:ascii="黑体" w:hAnsi="黑体" w:eastAsia="黑体" w:cs="宋体"/>
          <w:color w:val="auto"/>
          <w:kern w:val="0"/>
          <w:sz w:val="32"/>
          <w:szCs w:val="32"/>
        </w:rPr>
        <w:t>第九章 附则</w:t>
      </w:r>
    </w:p>
    <w:p>
      <w:pPr>
        <w:keepNext w:val="0"/>
        <w:keepLines w:val="0"/>
        <w:pageBreakBefore w:val="0"/>
        <w:widowControl w:val="0"/>
        <w:kinsoku/>
        <w:wordWrap/>
        <w:overflowPunct/>
        <w:topLinePunct w:val="0"/>
        <w:autoSpaceDE/>
        <w:autoSpaceDN/>
        <w:bidi w:val="0"/>
        <w:adjustRightInd w:val="0"/>
        <w:snapToGrid w:val="0"/>
        <w:spacing w:before="100" w:beforeAutospacing="0" w:after="100" w:afterAutospacing="0" w:line="600" w:lineRule="exact"/>
        <w:ind w:firstLine="643" w:firstLineChars="200"/>
        <w:jc w:val="left"/>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 xml:space="preserve">第三十七条 </w:t>
      </w:r>
      <w:r>
        <w:rPr>
          <w:rFonts w:hint="eastAsia" w:ascii="仿宋_GB2312" w:hAnsi="仿宋_GB2312" w:eastAsia="仿宋_GB2312" w:cs="仿宋_GB2312"/>
          <w:color w:val="auto"/>
          <w:kern w:val="0"/>
          <w:sz w:val="32"/>
          <w:szCs w:val="32"/>
        </w:rPr>
        <w:t>本办法由资产与后勤管理处负责解释。</w:t>
      </w: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firstLine="643" w:firstLineChars="200"/>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0"/>
          <w:sz w:val="32"/>
          <w:szCs w:val="32"/>
        </w:rPr>
        <w:t xml:space="preserve">第三十八条 </w:t>
      </w:r>
      <w:r>
        <w:rPr>
          <w:rFonts w:hint="eastAsia" w:ascii="仿宋_GB2312" w:hAnsi="仿宋_GB2312" w:eastAsia="仿宋_GB2312" w:cs="仿宋_GB2312"/>
          <w:color w:val="auto"/>
          <w:kern w:val="0"/>
          <w:sz w:val="32"/>
          <w:szCs w:val="32"/>
        </w:rPr>
        <w:t>本办法自发布之日起实施。</w:t>
      </w: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0000000000000000000"/>
    <w:charset w:val="86"/>
    <w:family w:val="auto"/>
    <w:pitch w:val="default"/>
    <w:sig w:usb0="00000000" w:usb1="00000000" w:usb2="00000016" w:usb3="00000000" w:csb0="0004000F" w:csb1="00000000"/>
  </w:font>
  <w:font w:name="等线">
    <w:altName w:val="宋体"/>
    <w:panose1 w:val="00000000000000000000"/>
    <w:charset w:val="86"/>
    <w:family w:val="auto"/>
    <w:pitch w:val="default"/>
    <w:sig w:usb0="00000000" w:usb1="00000000" w:usb2="00000000" w:usb3="00000000" w:csb0="00000000" w:csb1="00000000"/>
  </w:font>
  <w:font w:name="等线">
    <w:altName w:val="Segoe Print"/>
    <w:panose1 w:val="00000000000000000000"/>
    <w:charset w:val="00"/>
    <w:family w:val="auto"/>
    <w:pitch w:val="default"/>
    <w:sig w:usb0="00000000" w:usb1="00000000" w:usb2="00000000" w:usb3="00000000" w:csb0="00000000" w:csb1="00000000"/>
  </w:font>
  <w:font w:name="Arial">
    <w:panose1 w:val="020B0604020202020204"/>
    <w:charset w:val="00"/>
    <w:family w:val="swiss"/>
    <w:pitch w:val="default"/>
    <w:sig w:usb0="E0002AFF" w:usb1="C0007843" w:usb2="00000009" w:usb3="00000000" w:csb0="400001FF" w:csb1="FFFF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 w:name="Segoe Print">
    <w:panose1 w:val="02000600000000000000"/>
    <w:charset w:val="00"/>
    <w:family w:val="auto"/>
    <w:pitch w:val="default"/>
    <w:sig w:usb0="0000028F" w:usb1="00000000" w:usb2="00000000" w:usb3="00000000" w:csb0="2000009F" w:csb1="47010000"/>
  </w:font>
  <w:font w:name="Arial Unicode MS">
    <w:panose1 w:val="020B0604020202020204"/>
    <w:charset w:val="86"/>
    <w:family w:val="auto"/>
    <w:pitch w:val="default"/>
    <w:sig w:usb0="FFFFFFFF" w:usb1="E9FFFFFF" w:usb2="0000003F" w:usb3="00000000" w:csb0="603F01FF" w:csb1="FFFF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6"/>
                            <w:rPr>
                              <w:rFonts w:hint="default" w:ascii="Times New Roman" w:hAnsi="Times New Roman" w:eastAsia="宋体" w:cs="Times New Roman"/>
                              <w:lang w:eastAsia="zh-CN"/>
                            </w:rPr>
                          </w:pPr>
                          <w:r>
                            <w:rPr>
                              <w:rFonts w:hint="default" w:ascii="Times New Roman" w:hAnsi="Times New Roman" w:eastAsia="宋体" w:cs="Times New Roman"/>
                              <w:lang w:eastAsia="zh-CN"/>
                            </w:rPr>
                            <w:fldChar w:fldCharType="begin"/>
                          </w:r>
                          <w:r>
                            <w:rPr>
                              <w:rFonts w:hint="default" w:ascii="Times New Roman" w:hAnsi="Times New Roman" w:eastAsia="宋体" w:cs="Times New Roman"/>
                              <w:lang w:eastAsia="zh-CN"/>
                            </w:rPr>
                            <w:instrText xml:space="preserve"> PAGE  \* MERGEFORMAT </w:instrText>
                          </w:r>
                          <w:r>
                            <w:rPr>
                              <w:rFonts w:hint="default" w:ascii="Times New Roman" w:hAnsi="Times New Roman" w:eastAsia="宋体" w:cs="Times New Roman"/>
                              <w:lang w:eastAsia="zh-CN"/>
                            </w:rPr>
                            <w:fldChar w:fldCharType="separate"/>
                          </w:r>
                          <w:r>
                            <w:rPr>
                              <w:rFonts w:hint="default" w:ascii="Times New Roman" w:hAnsi="Times New Roman" w:eastAsia="宋体" w:cs="Times New Roman"/>
                              <w:lang w:eastAsia="zh-CN"/>
                            </w:rPr>
                            <w:t>1</w:t>
                          </w:r>
                          <w:r>
                            <w:rPr>
                              <w:rFonts w:hint="default" w:ascii="Times New Roman" w:hAnsi="Times New Roman" w:eastAsia="宋体" w:cs="Times New Roman"/>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CzSVju0AAAAAUBAAAPAAAAAAAAAAEA&#10;IAAAACIAAABkcnMvZG93bnJldi54bWxQSwECFAAUAAAACACHTuJA5LOmo8ICAADWBQAADgAAAAAA&#10;AAABACAAAAAfAQAAZHJzL2Uyb0RvYy54bWxQSwUGAAAAAAYABgBZAQAAUwYAAAAA&#10;">
              <v:fill on="f" focussize="0,0"/>
              <v:stroke on="f" weight="0.5pt"/>
              <v:imagedata o:title=""/>
              <o:lock v:ext="edit" aspectratio="f"/>
              <v:textbox inset="0mm,0mm,0mm,0mm" style="mso-fit-shape-to-text:t;">
                <w:txbxContent>
                  <w:p>
                    <w:pPr>
                      <w:pStyle w:val="6"/>
                      <w:rPr>
                        <w:rFonts w:hint="default" w:ascii="Times New Roman" w:hAnsi="Times New Roman" w:eastAsia="宋体" w:cs="Times New Roman"/>
                        <w:lang w:eastAsia="zh-CN"/>
                      </w:rPr>
                    </w:pPr>
                    <w:r>
                      <w:rPr>
                        <w:rFonts w:hint="default" w:ascii="Times New Roman" w:hAnsi="Times New Roman" w:eastAsia="宋体" w:cs="Times New Roman"/>
                        <w:lang w:eastAsia="zh-CN"/>
                      </w:rPr>
                      <w:fldChar w:fldCharType="begin"/>
                    </w:r>
                    <w:r>
                      <w:rPr>
                        <w:rFonts w:hint="default" w:ascii="Times New Roman" w:hAnsi="Times New Roman" w:eastAsia="宋体" w:cs="Times New Roman"/>
                        <w:lang w:eastAsia="zh-CN"/>
                      </w:rPr>
                      <w:instrText xml:space="preserve"> PAGE  \* MERGEFORMAT </w:instrText>
                    </w:r>
                    <w:r>
                      <w:rPr>
                        <w:rFonts w:hint="default" w:ascii="Times New Roman" w:hAnsi="Times New Roman" w:eastAsia="宋体" w:cs="Times New Roman"/>
                        <w:lang w:eastAsia="zh-CN"/>
                      </w:rPr>
                      <w:fldChar w:fldCharType="separate"/>
                    </w:r>
                    <w:r>
                      <w:rPr>
                        <w:rFonts w:hint="default" w:ascii="Times New Roman" w:hAnsi="Times New Roman" w:eastAsia="宋体" w:cs="Times New Roman"/>
                        <w:lang w:eastAsia="zh-CN"/>
                      </w:rPr>
                      <w:t>1</w:t>
                    </w:r>
                    <w:r>
                      <w:rPr>
                        <w:rFonts w:hint="default" w:ascii="Times New Roman" w:hAnsi="Times New Roman" w:eastAsia="宋体" w:cs="Times New Roman"/>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755C"/>
    <w:rsid w:val="00003EFE"/>
    <w:rsid w:val="00021352"/>
    <w:rsid w:val="0002658C"/>
    <w:rsid w:val="00077240"/>
    <w:rsid w:val="000855AC"/>
    <w:rsid w:val="000B40F0"/>
    <w:rsid w:val="001271D8"/>
    <w:rsid w:val="00142AD4"/>
    <w:rsid w:val="00145A90"/>
    <w:rsid w:val="00161CFA"/>
    <w:rsid w:val="00172AF2"/>
    <w:rsid w:val="001868E3"/>
    <w:rsid w:val="001D2415"/>
    <w:rsid w:val="00216FFB"/>
    <w:rsid w:val="002A206D"/>
    <w:rsid w:val="00392ED8"/>
    <w:rsid w:val="003C545E"/>
    <w:rsid w:val="00417925"/>
    <w:rsid w:val="00423280"/>
    <w:rsid w:val="00426673"/>
    <w:rsid w:val="00450AE8"/>
    <w:rsid w:val="00507C6B"/>
    <w:rsid w:val="00560B01"/>
    <w:rsid w:val="00590DED"/>
    <w:rsid w:val="005C631E"/>
    <w:rsid w:val="00683C06"/>
    <w:rsid w:val="0069433A"/>
    <w:rsid w:val="00696A0C"/>
    <w:rsid w:val="006B0446"/>
    <w:rsid w:val="006D652C"/>
    <w:rsid w:val="007125C3"/>
    <w:rsid w:val="0074746B"/>
    <w:rsid w:val="007624F8"/>
    <w:rsid w:val="00780C3A"/>
    <w:rsid w:val="00781C1A"/>
    <w:rsid w:val="007971ED"/>
    <w:rsid w:val="007B1222"/>
    <w:rsid w:val="007B1635"/>
    <w:rsid w:val="008324AE"/>
    <w:rsid w:val="00840777"/>
    <w:rsid w:val="008D1EC8"/>
    <w:rsid w:val="008D5D28"/>
    <w:rsid w:val="008E552D"/>
    <w:rsid w:val="00904C7C"/>
    <w:rsid w:val="00912B94"/>
    <w:rsid w:val="00913D57"/>
    <w:rsid w:val="0096000B"/>
    <w:rsid w:val="00984440"/>
    <w:rsid w:val="00985C23"/>
    <w:rsid w:val="009942DB"/>
    <w:rsid w:val="009F220B"/>
    <w:rsid w:val="009F3D67"/>
    <w:rsid w:val="009F649B"/>
    <w:rsid w:val="00A172A1"/>
    <w:rsid w:val="00A37C09"/>
    <w:rsid w:val="00A7755C"/>
    <w:rsid w:val="00AA0850"/>
    <w:rsid w:val="00AB58C1"/>
    <w:rsid w:val="00AF313E"/>
    <w:rsid w:val="00B07CBB"/>
    <w:rsid w:val="00B17D76"/>
    <w:rsid w:val="00BA0D76"/>
    <w:rsid w:val="00BA5493"/>
    <w:rsid w:val="00BD5C61"/>
    <w:rsid w:val="00BE78FF"/>
    <w:rsid w:val="00C1500B"/>
    <w:rsid w:val="00C650E6"/>
    <w:rsid w:val="00CB27F3"/>
    <w:rsid w:val="00CB4FC0"/>
    <w:rsid w:val="00CC12AD"/>
    <w:rsid w:val="00D44C64"/>
    <w:rsid w:val="00D72E09"/>
    <w:rsid w:val="00E87564"/>
    <w:rsid w:val="00EB608A"/>
    <w:rsid w:val="00EC62BB"/>
    <w:rsid w:val="00EE253D"/>
    <w:rsid w:val="00F22725"/>
    <w:rsid w:val="00F26677"/>
    <w:rsid w:val="00F510A1"/>
    <w:rsid w:val="00FB137F"/>
    <w:rsid w:val="00FC1400"/>
    <w:rsid w:val="05A7086B"/>
    <w:rsid w:val="12090979"/>
    <w:rsid w:val="22976531"/>
    <w:rsid w:val="524E4E27"/>
    <w:rsid w:val="5EF04D9E"/>
    <w:rsid w:val="6ABE7A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3"/>
    <w:link w:val="15"/>
    <w:qFormat/>
    <w:uiPriority w:val="0"/>
    <w:pPr>
      <w:keepNext/>
      <w:keepLines/>
      <w:widowControl/>
      <w:spacing w:before="260" w:after="260" w:line="416" w:lineRule="auto"/>
      <w:jc w:val="left"/>
      <w:outlineLvl w:val="1"/>
    </w:pPr>
    <w:rPr>
      <w:rFonts w:ascii="Arial" w:hAnsi="Arial" w:eastAsia="黑体" w:cs="Times New Roman"/>
      <w:b/>
      <w:color w:val="000000"/>
      <w:sz w:val="32"/>
      <w:szCs w:val="20"/>
    </w:rPr>
  </w:style>
  <w:style w:type="character" w:default="1" w:styleId="9">
    <w:name w:val="Default Paragraph Font"/>
    <w:semiHidden/>
    <w:unhideWhenUsed/>
    <w:uiPriority w:val="1"/>
  </w:style>
  <w:style w:type="table" w:default="1" w:styleId="11">
    <w:name w:val="Normal Table"/>
    <w:semiHidden/>
    <w:unhideWhenUsed/>
    <w:uiPriority w:val="99"/>
    <w:tblPr>
      <w:tblLayout w:type="fixed"/>
      <w:tblCellMar>
        <w:top w:w="0" w:type="dxa"/>
        <w:left w:w="108" w:type="dxa"/>
        <w:bottom w:w="0" w:type="dxa"/>
        <w:right w:w="108" w:type="dxa"/>
      </w:tblCellMar>
    </w:tblPr>
  </w:style>
  <w:style w:type="paragraph" w:styleId="3">
    <w:name w:val="Normal Indent"/>
    <w:basedOn w:val="1"/>
    <w:semiHidden/>
    <w:unhideWhenUsed/>
    <w:qFormat/>
    <w:uiPriority w:val="99"/>
    <w:pPr>
      <w:ind w:firstLine="420" w:firstLineChars="200"/>
    </w:pPr>
  </w:style>
  <w:style w:type="paragraph" w:styleId="4">
    <w:name w:val="Body Text Indent"/>
    <w:basedOn w:val="1"/>
    <w:link w:val="12"/>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5">
    <w:name w:val="Balloon Text"/>
    <w:basedOn w:val="1"/>
    <w:link w:val="16"/>
    <w:semiHidden/>
    <w:unhideWhenUsed/>
    <w:qFormat/>
    <w:uiPriority w:val="99"/>
    <w:rPr>
      <w:sz w:val="18"/>
      <w:szCs w:val="18"/>
    </w:rPr>
  </w:style>
  <w:style w:type="paragraph" w:styleId="6">
    <w:name w:val="footer"/>
    <w:basedOn w:val="1"/>
    <w:link w:val="14"/>
    <w:unhideWhenUsed/>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uiPriority w:val="99"/>
    <w:pPr>
      <w:widowControl/>
      <w:spacing w:before="100" w:beforeAutospacing="1" w:after="100" w:afterAutospacing="1"/>
      <w:jc w:val="left"/>
    </w:pPr>
    <w:rPr>
      <w:rFonts w:ascii="宋体" w:hAnsi="宋体" w:eastAsia="宋体" w:cs="宋体"/>
      <w:kern w:val="0"/>
      <w:sz w:val="24"/>
      <w:szCs w:val="24"/>
    </w:rPr>
  </w:style>
  <w:style w:type="character" w:styleId="10">
    <w:name w:val="Strong"/>
    <w:basedOn w:val="9"/>
    <w:qFormat/>
    <w:uiPriority w:val="22"/>
    <w:rPr>
      <w:b/>
      <w:bCs/>
    </w:rPr>
  </w:style>
  <w:style w:type="character" w:customStyle="1" w:styleId="12">
    <w:name w:val="正文文本缩进 Char"/>
    <w:basedOn w:val="9"/>
    <w:link w:val="4"/>
    <w:semiHidden/>
    <w:qFormat/>
    <w:uiPriority w:val="99"/>
    <w:rPr>
      <w:rFonts w:ascii="宋体" w:hAnsi="宋体" w:eastAsia="宋体" w:cs="宋体"/>
      <w:kern w:val="0"/>
      <w:sz w:val="24"/>
      <w:szCs w:val="24"/>
    </w:rPr>
  </w:style>
  <w:style w:type="character" w:customStyle="1" w:styleId="13">
    <w:name w:val="页眉 Char"/>
    <w:basedOn w:val="9"/>
    <w:link w:val="7"/>
    <w:uiPriority w:val="99"/>
    <w:rPr>
      <w:sz w:val="18"/>
      <w:szCs w:val="18"/>
    </w:rPr>
  </w:style>
  <w:style w:type="character" w:customStyle="1" w:styleId="14">
    <w:name w:val="页脚 Char"/>
    <w:basedOn w:val="9"/>
    <w:link w:val="6"/>
    <w:qFormat/>
    <w:uiPriority w:val="99"/>
    <w:rPr>
      <w:sz w:val="18"/>
      <w:szCs w:val="18"/>
    </w:rPr>
  </w:style>
  <w:style w:type="character" w:customStyle="1" w:styleId="15">
    <w:name w:val="标题 2 Char"/>
    <w:basedOn w:val="9"/>
    <w:link w:val="2"/>
    <w:uiPriority w:val="0"/>
    <w:rPr>
      <w:rFonts w:ascii="Arial" w:hAnsi="Arial" w:eastAsia="黑体" w:cs="Times New Roman"/>
      <w:b/>
      <w:color w:val="000000"/>
      <w:sz w:val="32"/>
      <w:szCs w:val="20"/>
    </w:rPr>
  </w:style>
  <w:style w:type="character" w:customStyle="1" w:styleId="16">
    <w:name w:val="批注框文本 Char"/>
    <w:basedOn w:val="9"/>
    <w:link w:val="5"/>
    <w:semiHidden/>
    <w:qFormat/>
    <w:uiPriority w:val="99"/>
    <w:rPr>
      <w:kern w:val="2"/>
      <w:sz w:val="18"/>
      <w:szCs w:val="18"/>
    </w:rPr>
  </w:style>
  <w:style w:type="paragraph" w:styleId="17">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黑体"/>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宋体"/>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662</Words>
  <Characters>3774</Characters>
  <Lines>31</Lines>
  <Paragraphs>8</Paragraphs>
  <TotalTime>60</TotalTime>
  <ScaleCrop>false</ScaleCrop>
  <LinksUpToDate>false</LinksUpToDate>
  <CharactersWithSpaces>4428</CharactersWithSpaces>
  <Application>WPS Office_10.1.0.7469_F1E327BC-269C-435d-A152-05C5408002CA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2018-05-13T01:42:00Z</dcterms:created>
  <dc:creator>wu rengcai</dc:creator>
  <cp:lastModifiedBy>院办吴昊</cp:lastModifiedBy>
  <dcterms:modified xsi:type="dcterms:W3CDTF">2018-11-26T03:05:12Z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